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11D3D">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501105</w:t>
      </w:r>
      <w:bookmarkStart w:id="8" w:name="_GoBack"/>
      <w:bookmarkEnd w:id="8"/>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62029748">
      <w:pPr>
        <w:tabs>
          <w:tab w:val="left" w:pos="1985"/>
        </w:tabs>
        <w:rPr>
          <w:rFonts w:ascii="Times New Roman" w:hAnsi="Times New Roman"/>
          <w:b/>
          <w:sz w:val="22"/>
          <w:highlight w:val="none"/>
        </w:rPr>
      </w:pPr>
    </w:p>
    <w:p w14:paraId="2AB3800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5</w:t>
      </w:r>
      <w:r>
        <w:rPr>
          <w:rFonts w:ascii="Times New Roman" w:hAnsi="Times New Roman"/>
          <w:sz w:val="22"/>
          <w:highlight w:val="none"/>
        </w:rPr>
        <w:t>.</w:t>
      </w:r>
      <w:r>
        <w:rPr>
          <w:rFonts w:hint="eastAsia"/>
          <w:sz w:val="22"/>
          <w:highlight w:val="none"/>
          <w:lang w:val="en-US" w:eastAsia="zh-CN"/>
        </w:rPr>
        <w:t>12</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2797AD8D">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F5BFCA9">
      <w:pPr>
        <w:rPr>
          <w:rFonts w:ascii="Times New Roman" w:hAnsi="Times New Roman"/>
          <w:sz w:val="22"/>
          <w:highlight w:val="none"/>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hint="eastAsia" w:ascii="Times New Roman" w:hAnsi="Times New Roman" w:eastAsia="宋体" w:cs="Times New Roman"/>
          <w:sz w:val="22"/>
          <w:highlight w:val="none"/>
          <w:lang w:val="en-US" w:eastAsia="zh-CN"/>
        </w:rPr>
        <w:t>(</w:t>
      </w:r>
      <w:r>
        <w:rPr>
          <w:rFonts w:hint="eastAsia" w:ascii="Times New Roman" w:hAnsi="Times New Roman" w:eastAsia="宋体" w:cs="Times New Roman"/>
          <w:sz w:val="22"/>
          <w:highlight w:val="none"/>
        </w:rPr>
        <w:t>NR_MG_enh2-Core</w:t>
      </w:r>
      <w:r>
        <w:rPr>
          <w:rFonts w:hint="eastAsia" w:ascii="Times New Roman" w:hAnsi="Times New Roman" w:eastAsia="宋体" w:cs="Times New Roman"/>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sz w:val="22"/>
          <w:highlight w:val="none"/>
          <w:lang w:val="en-US" w:eastAsia="zh-CN"/>
        </w:rPr>
        <w:t>c</w:t>
      </w:r>
      <w:r>
        <w:rPr>
          <w:rFonts w:hint="eastAsia" w:ascii="Times New Roman" w:hAnsi="Times New Roman"/>
          <w:sz w:val="22"/>
          <w:highlight w:val="none"/>
          <w:lang w:val="en-US" w:eastAsia="zh-CN"/>
        </w:rPr>
        <w:t>oncurrent gaps with NCSG</w:t>
      </w:r>
    </w:p>
    <w:bookmarkEnd w:id="4"/>
    <w:bookmarkEnd w:id="5"/>
    <w:p w14:paraId="3A29F79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6FDB0E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5D9E2FC">
      <w:pPr>
        <w:spacing w:after="180" w:line="240" w:lineRule="exact"/>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last meeting, </w:t>
      </w:r>
      <w:r>
        <w:rPr>
          <w:rFonts w:hint="eastAsia"/>
          <w:sz w:val="20"/>
          <w:szCs w:val="20"/>
          <w:lang w:val="en-US" w:eastAsia="zh-CN"/>
        </w:rPr>
        <w:t>there was discussion on concurrent gaps with NCSG, and a WF was approved</w:t>
      </w:r>
      <w:r>
        <w:rPr>
          <w:rFonts w:ascii="Times New Roman" w:hAnsi="Times New Roman"/>
          <w:sz w:val="20"/>
          <w:szCs w:val="20"/>
        </w:rPr>
        <w:t xml:space="preserve"> [</w:t>
      </w:r>
      <w:r>
        <w:rPr>
          <w:rFonts w:hint="eastAsia" w:ascii="Times New Roman" w:hAnsi="Times New Roman"/>
          <w:sz w:val="20"/>
          <w:szCs w:val="20"/>
          <w:lang w:val="en-US" w:eastAsia="zh-CN"/>
        </w:rPr>
        <w:t>1</w:t>
      </w:r>
      <w:r>
        <w:rPr>
          <w:rFonts w:ascii="Times New Roman" w:hAnsi="Times New Roman"/>
          <w:sz w:val="20"/>
          <w:szCs w:val="20"/>
        </w:rPr>
        <w:t xml:space="preserve">]. This contribution provides discussion on </w:t>
      </w:r>
      <w:r>
        <w:rPr>
          <w:rFonts w:hint="eastAsia"/>
          <w:sz w:val="20"/>
          <w:szCs w:val="20"/>
          <w:lang w:val="en-US" w:eastAsia="zh-CN"/>
        </w:rPr>
        <w:t>this</w:t>
      </w:r>
      <w:r>
        <w:rPr>
          <w:rFonts w:ascii="Times New Roman" w:hAnsi="Times New Roman"/>
          <w:sz w:val="20"/>
          <w:szCs w:val="20"/>
        </w:rPr>
        <w:t xml:space="preserve"> </w:t>
      </w:r>
      <w:r>
        <w:rPr>
          <w:rFonts w:hint="eastAsia" w:ascii="Times New Roman" w:hAnsi="Times New Roman"/>
          <w:sz w:val="20"/>
          <w:szCs w:val="20"/>
          <w:lang w:val="en-US" w:eastAsia="zh-CN"/>
        </w:rPr>
        <w:t>issue</w:t>
      </w:r>
      <w:r>
        <w:rPr>
          <w:rFonts w:ascii="Times New Roman" w:hAnsi="Times New Roman"/>
          <w:sz w:val="20"/>
          <w:szCs w:val="20"/>
        </w:rPr>
        <w:t>.</w:t>
      </w:r>
    </w:p>
    <w:p w14:paraId="223749D8">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F0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8A36529">
            <w:pPr>
              <w:pStyle w:val="17"/>
              <w:numPr>
                <w:ilvl w:val="0"/>
                <w:numId w:val="0"/>
              </w:numPr>
              <w:spacing w:after="120"/>
              <w:ind w:leftChars="0"/>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Sub-topic 1-1: Rel-18 UE behavior for deactivated SCell measurements with NCSG</w:t>
            </w:r>
          </w:p>
          <w:p w14:paraId="6F6C9CA0">
            <w:pPr>
              <w:pStyle w:val="17"/>
              <w:numPr>
                <w:ilvl w:val="0"/>
                <w:numId w:val="3"/>
              </w:numPr>
              <w:spacing w:after="120"/>
              <w:ind w:firstLineChars="0"/>
              <w:textAlignment w:val="auto"/>
              <w:rPr>
                <w:rFonts w:hint="default" w:ascii="Times New Roman" w:hAnsi="Times New Roman" w:eastAsia="PMingLiU" w:cs="Times New Roman"/>
                <w:sz w:val="20"/>
                <w:szCs w:val="20"/>
                <w:lang w:eastAsia="zh-TW"/>
              </w:rPr>
            </w:pPr>
            <w:r>
              <w:rPr>
                <w:rFonts w:hint="default" w:ascii="Times New Roman" w:hAnsi="Times New Roman" w:eastAsia="宋体" w:cs="Times New Roman"/>
                <w:color w:val="0070C0"/>
                <w:sz w:val="20"/>
                <w:szCs w:val="20"/>
                <w:lang w:eastAsia="zh-CN"/>
              </w:rPr>
              <w:t xml:space="preserve">Background: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4801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Borders>
                    <w:top w:val="single" w:color="auto" w:sz="4" w:space="0"/>
                    <w:left w:val="single" w:color="auto" w:sz="4" w:space="0"/>
                    <w:bottom w:val="single" w:color="auto" w:sz="4" w:space="0"/>
                    <w:right w:val="single" w:color="auto" w:sz="4" w:space="0"/>
                  </w:tcBorders>
                </w:tcPr>
                <w:p w14:paraId="34C191F3">
                  <w:pPr>
                    <w:overflowPunct w:val="0"/>
                    <w:autoSpaceDE w:val="0"/>
                    <w:autoSpaceDN w:val="0"/>
                    <w:adjustRightInd w:val="0"/>
                    <w:spacing w:after="120" w:afterLines="50"/>
                    <w:textAlignment w:val="baseline"/>
                    <w:rPr>
                      <w:rFonts w:hint="default" w:ascii="Times New Roman" w:hAnsi="Times New Roman" w:eastAsia="Yu Mincho" w:cs="Times New Roman"/>
                      <w:sz w:val="20"/>
                      <w:szCs w:val="20"/>
                      <w:lang w:val="sv-SE" w:eastAsia="zh-CN"/>
                    </w:rPr>
                  </w:pPr>
                  <w:r>
                    <w:rPr>
                      <w:rFonts w:hint="default" w:ascii="Times New Roman" w:hAnsi="Times New Roman" w:eastAsia="Yu Mincho" w:cs="Times New Roman"/>
                      <w:b/>
                      <w:sz w:val="20"/>
                      <w:szCs w:val="20"/>
                      <w:lang w:val="sv-SE" w:eastAsia="zh-CN"/>
                    </w:rPr>
                    <w:t>&lt; Agreement &gt;</w:t>
                  </w:r>
                  <w:r>
                    <w:rPr>
                      <w:rFonts w:hint="default" w:ascii="Times New Roman" w:hAnsi="Times New Roman" w:eastAsia="Yu Mincho" w:cs="Times New Roman"/>
                      <w:sz w:val="20"/>
                      <w:szCs w:val="20"/>
                      <w:lang w:val="sv-SE" w:eastAsia="zh-CN"/>
                    </w:rPr>
                    <w:t xml:space="preserve">: </w:t>
                  </w:r>
                </w:p>
                <w:p w14:paraId="469E547C">
                  <w:pPr>
                    <w:overflowPunct w:val="0"/>
                    <w:autoSpaceDE w:val="0"/>
                    <w:autoSpaceDN w:val="0"/>
                    <w:adjustRightInd w:val="0"/>
                    <w:spacing w:after="120"/>
                    <w:textAlignment w:val="baseline"/>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 from RAN4 meeting#111:</w:t>
                  </w:r>
                </w:p>
                <w:p w14:paraId="431BF0CA">
                  <w:pPr>
                    <w:pStyle w:val="17"/>
                    <w:numPr>
                      <w:ilvl w:val="0"/>
                      <w:numId w:val="4"/>
                    </w:numPr>
                    <w:spacing w:after="120"/>
                    <w:ind w:firstLineChars="0"/>
                    <w:textAlignment w:val="auto"/>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For UE configured with one NCSG and one Type 1/2 MG: All deactivated SCells are measured within NCSG, regardless of the reported UE capabilities [</w:t>
                  </w:r>
                  <w:r>
                    <w:rPr>
                      <w:rFonts w:hint="default" w:ascii="Times New Roman" w:hAnsi="Times New Roman" w:eastAsia="PMingLiU" w:cs="Times New Roman"/>
                      <w:sz w:val="20"/>
                      <w:szCs w:val="20"/>
                      <w:highlight w:val="yellow"/>
                      <w:lang w:eastAsia="zh-TW"/>
                    </w:rPr>
                    <w:t>and gap association</w:t>
                  </w:r>
                  <w:r>
                    <w:rPr>
                      <w:rFonts w:hint="default" w:ascii="Times New Roman" w:hAnsi="Times New Roman" w:eastAsia="PMingLiU" w:cs="Times New Roman"/>
                      <w:sz w:val="20"/>
                      <w:szCs w:val="20"/>
                      <w:lang w:eastAsia="zh-TW"/>
                    </w:rPr>
                    <w:t>].</w:t>
                  </w:r>
                </w:p>
                <w:p w14:paraId="21F143C3">
                  <w:pPr>
                    <w:pStyle w:val="17"/>
                    <w:numPr>
                      <w:ilvl w:val="1"/>
                      <w:numId w:val="4"/>
                    </w:numPr>
                    <w:spacing w:after="120"/>
                    <w:ind w:firstLineChars="0"/>
                    <w:textAlignment w:val="auto"/>
                    <w:rPr>
                      <w:rFonts w:hint="default" w:ascii="Times New Roman" w:hAnsi="Times New Roman" w:eastAsia="PMingLiU" w:cs="Times New Roman"/>
                      <w:sz w:val="20"/>
                      <w:szCs w:val="20"/>
                      <w:lang w:eastAsia="zh-TW"/>
                    </w:rPr>
                  </w:pPr>
                  <w:r>
                    <w:rPr>
                      <w:rFonts w:hint="default" w:ascii="Times New Roman" w:hAnsi="Times New Roman" w:eastAsia="等线" w:cs="Times New Roman"/>
                      <w:sz w:val="20"/>
                      <w:szCs w:val="20"/>
                    </w:rPr>
                    <w:t>Further details on the processing delay between NCSG and Type 1/2 MG can be further discussed.</w:t>
                  </w:r>
                </w:p>
                <w:p w14:paraId="3FC1432B">
                  <w:pPr>
                    <w:pStyle w:val="17"/>
                    <w:numPr>
                      <w:ilvl w:val="0"/>
                      <w:numId w:val="4"/>
                    </w:numPr>
                    <w:spacing w:after="120"/>
                    <w:ind w:firstLineChars="0"/>
                    <w:textAlignment w:val="auto"/>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For UE configured with 2 NCSG, deactivated SCells are measured with NCSG</w:t>
                  </w:r>
                </w:p>
                <w:p w14:paraId="743A8C5A">
                  <w:pPr>
                    <w:pStyle w:val="17"/>
                    <w:numPr>
                      <w:ilvl w:val="1"/>
                      <w:numId w:val="4"/>
                    </w:numPr>
                    <w:spacing w:after="120"/>
                    <w:ind w:firstLineChars="0"/>
                    <w:textAlignment w:val="auto"/>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If the association is provided, deactivated SCells are measured with NCSG according to gap association.</w:t>
                  </w:r>
                </w:p>
                <w:p w14:paraId="052760B2">
                  <w:pPr>
                    <w:pStyle w:val="17"/>
                    <w:numPr>
                      <w:ilvl w:val="1"/>
                      <w:numId w:val="4"/>
                    </w:numPr>
                    <w:spacing w:after="120"/>
                    <w:ind w:firstLineChars="0"/>
                    <w:textAlignment w:val="auto"/>
                    <w:rPr>
                      <w:rFonts w:hint="default" w:ascii="Times New Roman" w:hAnsi="Times New Roman" w:eastAsia="PMingLiU" w:cs="Times New Roman"/>
                      <w:sz w:val="20"/>
                      <w:szCs w:val="20"/>
                      <w:u w:val="single"/>
                      <w:lang w:eastAsia="zh-TW"/>
                    </w:rPr>
                  </w:pPr>
                  <w:r>
                    <w:rPr>
                      <w:rFonts w:hint="default" w:ascii="Times New Roman" w:hAnsi="Times New Roman" w:eastAsia="PMingLiU" w:cs="Times New Roman"/>
                      <w:sz w:val="20"/>
                      <w:szCs w:val="20"/>
                      <w:lang w:eastAsia="zh-TW"/>
                    </w:rPr>
                    <w:t xml:space="preserve">If the association is not provided, </w:t>
                  </w:r>
                  <w:r>
                    <w:rPr>
                      <w:rFonts w:hint="default" w:ascii="Times New Roman" w:hAnsi="Times New Roman" w:eastAsia="PMingLiU" w:cs="Times New Roman"/>
                      <w:sz w:val="20"/>
                      <w:szCs w:val="20"/>
                      <w:u w:val="single"/>
                      <w:lang w:eastAsia="zh-TW"/>
                    </w:rPr>
                    <w:t>UE is not expected to cause interruption outside the VIL due to measurement on any of the deactivated SCells, and the existing measurement delay requirement does not apply to this case.</w:t>
                  </w:r>
                </w:p>
                <w:p w14:paraId="52B533DA">
                  <w:pPr>
                    <w:overflowPunct/>
                    <w:autoSpaceDE/>
                    <w:autoSpaceDN w:val="0"/>
                    <w:adjustRightInd/>
                    <w:spacing w:after="120"/>
                    <w:textAlignment w:val="auto"/>
                    <w:rPr>
                      <w:rFonts w:hint="default" w:ascii="Times New Roman" w:hAnsi="Times New Roman" w:eastAsia="宋体" w:cs="Times New Roman"/>
                      <w:b/>
                      <w:bCs/>
                      <w:color w:val="000000" w:themeColor="text1"/>
                      <w:sz w:val="20"/>
                      <w:szCs w:val="20"/>
                      <w:highlight w:val="green"/>
                      <w:lang w:eastAsia="zh-CN"/>
                      <w14:textFill>
                        <w14:solidFill>
                          <w14:schemeClr w14:val="tx1"/>
                        </w14:solidFill>
                      </w14:textFill>
                    </w:rPr>
                  </w:pPr>
                  <w:r>
                    <w:rPr>
                      <w:rFonts w:hint="default" w:ascii="Times New Roman" w:hAnsi="Times New Roman" w:eastAsia="Yu Mincho" w:cs="Times New Roman"/>
                      <w:color w:val="000000" w:themeColor="text1"/>
                      <w:sz w:val="20"/>
                      <w:szCs w:val="20"/>
                      <w:highlight w:val="green"/>
                      <w:lang w:eastAsia="zh-CN"/>
                      <w14:textFill>
                        <w14:solidFill>
                          <w14:schemeClr w14:val="tx1"/>
                        </w14:solidFill>
                      </w14:textFill>
                    </w:rPr>
                    <w:t>Agreement</w:t>
                  </w:r>
                  <w:r>
                    <w:rPr>
                      <w:rFonts w:hint="default" w:ascii="Times New Roman" w:hAnsi="Times New Roman" w:eastAsia="Yu Mincho" w:cs="Times New Roman"/>
                      <w:b/>
                      <w:bCs/>
                      <w:color w:val="000000" w:themeColor="text1"/>
                      <w:sz w:val="20"/>
                      <w:szCs w:val="20"/>
                      <w:highlight w:val="green"/>
                      <w:lang w:eastAsia="zh-CN"/>
                      <w14:textFill>
                        <w14:solidFill>
                          <w14:schemeClr w14:val="tx1"/>
                        </w14:solidFill>
                      </w14:textFill>
                    </w:rPr>
                    <w:t xml:space="preserve"> </w:t>
                  </w:r>
                  <w:r>
                    <w:rPr>
                      <w:rFonts w:hint="default" w:ascii="Times New Roman" w:hAnsi="Times New Roman" w:eastAsia="等线" w:cs="Times New Roman"/>
                      <w:sz w:val="20"/>
                      <w:szCs w:val="20"/>
                      <w:highlight w:val="green"/>
                      <w:lang w:eastAsia="zh-CN"/>
                    </w:rPr>
                    <w:t>from RAN4 meeting#112</w:t>
                  </w:r>
                  <w:r>
                    <w:rPr>
                      <w:rFonts w:hint="default" w:ascii="Times New Roman" w:hAnsi="Times New Roman" w:eastAsia="宋体" w:cs="Times New Roman"/>
                      <w:b/>
                      <w:bCs/>
                      <w:color w:val="000000" w:themeColor="text1"/>
                      <w:sz w:val="20"/>
                      <w:szCs w:val="20"/>
                      <w:highlight w:val="green"/>
                      <w:lang w:eastAsia="zh-CN"/>
                      <w14:textFill>
                        <w14:solidFill>
                          <w14:schemeClr w14:val="tx1"/>
                        </w14:solidFill>
                      </w14:textFill>
                    </w:rPr>
                    <w:t>:</w:t>
                  </w:r>
                </w:p>
                <w:p w14:paraId="5DDB7AC5">
                  <w:pPr>
                    <w:pStyle w:val="17"/>
                    <w:numPr>
                      <w:ilvl w:val="0"/>
                      <w:numId w:val="4"/>
                    </w:numPr>
                    <w:overflowPunct/>
                    <w:autoSpaceDE/>
                    <w:adjustRightInd/>
                    <w:spacing w:after="120"/>
                    <w:ind w:firstLineChars="0"/>
                    <w:textAlignment w:val="auto"/>
                    <w:rPr>
                      <w:rFonts w:hint="default" w:ascii="Times New Roman" w:hAnsi="Times New Roman" w:eastAsia="宋体"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When UE switches measurement between NCSG and Type 2 MG, no additional processing delay is expected</w:t>
                  </w:r>
                  <w:r>
                    <w:rPr>
                      <w:rFonts w:hint="default" w:ascii="Times New Roman" w:hAnsi="Times New Roman" w:eastAsia="宋体" w:cs="Times New Roman"/>
                      <w:color w:val="000000" w:themeColor="text1"/>
                      <w:sz w:val="20"/>
                      <w:szCs w:val="20"/>
                      <w:lang w:eastAsia="zh-CN"/>
                      <w14:textFill>
                        <w14:solidFill>
                          <w14:schemeClr w14:val="tx1"/>
                        </w14:solidFill>
                      </w14:textFill>
                    </w:rPr>
                    <w:t xml:space="preserve">. </w:t>
                  </w:r>
                </w:p>
              </w:tc>
            </w:tr>
          </w:tbl>
          <w:p w14:paraId="08132583">
            <w:pPr>
              <w:rPr>
                <w:rFonts w:hint="default" w:ascii="Times New Roman" w:hAnsi="Times New Roman" w:cs="Times New Roman"/>
                <w:b/>
                <w:color w:val="0070C0"/>
                <w:sz w:val="20"/>
                <w:szCs w:val="20"/>
                <w:u w:val="single"/>
                <w:lang w:eastAsia="ko-KR"/>
              </w:rPr>
            </w:pPr>
          </w:p>
          <w:p w14:paraId="6192C5D7">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 xml:space="preserve">Issue 1-1-1: When the UE is configured with Concurrent gaps with NCSG, whether all deactivated SCells are measured within NCSG, regardless the gap association? </w:t>
            </w:r>
          </w:p>
          <w:p w14:paraId="72369DA9">
            <w:pPr>
              <w:pStyle w:val="17"/>
              <w:numPr>
                <w:ilvl w:val="1"/>
                <w:numId w:val="4"/>
              </w:numPr>
              <w:spacing w:after="120"/>
              <w:ind w:firstLineChars="0"/>
              <w:textAlignment w:val="auto"/>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Further discuss in the next meeting.</w:t>
            </w:r>
          </w:p>
          <w:p w14:paraId="3847F33F">
            <w:pPr>
              <w:spacing w:after="180" w:line="240" w:lineRule="exact"/>
              <w:rPr>
                <w:rFonts w:hint="default" w:ascii="Times New Roman" w:hAnsi="Times New Roman" w:cs="Times New Roman"/>
                <w:sz w:val="20"/>
                <w:szCs w:val="20"/>
                <w:vertAlign w:val="baseline"/>
                <w:lang w:val="en-US" w:eastAsia="zh-CN"/>
              </w:rPr>
            </w:pPr>
          </w:p>
        </w:tc>
      </w:tr>
    </w:tbl>
    <w:p w14:paraId="65421CAD">
      <w:pPr>
        <w:spacing w:after="180" w:line="240" w:lineRule="exact"/>
        <w:rPr>
          <w:rFonts w:hint="eastAsia"/>
          <w:sz w:val="20"/>
          <w:szCs w:val="20"/>
          <w:lang w:val="en-US" w:eastAsia="zh-CN"/>
        </w:rPr>
      </w:pPr>
    </w:p>
    <w:p w14:paraId="6ED12853">
      <w:pPr>
        <w:spacing w:after="180" w:line="240" w:lineRule="exact"/>
        <w:rPr>
          <w:rFonts w:hint="eastAsia" w:cs="Times New Roman"/>
          <w:sz w:val="20"/>
          <w:szCs w:val="20"/>
          <w:lang w:val="en-US" w:eastAsia="zh-CN"/>
        </w:rPr>
      </w:pPr>
      <w:r>
        <w:rPr>
          <w:rFonts w:hint="eastAsia"/>
          <w:sz w:val="20"/>
          <w:szCs w:val="20"/>
          <w:lang w:val="en-US" w:eastAsia="zh-CN"/>
        </w:rPr>
        <w:t xml:space="preserve">It was agreed that when the UE is configured with Concurrent gaps with NCSG, all </w:t>
      </w:r>
      <w:r>
        <w:rPr>
          <w:rFonts w:hint="default" w:ascii="Times New Roman" w:hAnsi="Times New Roman" w:eastAsia="PMingLiU" w:cs="Times New Roman"/>
          <w:sz w:val="20"/>
          <w:szCs w:val="20"/>
          <w:lang w:eastAsia="zh-TW"/>
        </w:rPr>
        <w:t>deactivated SCells are measured within NCSG,</w:t>
      </w:r>
      <w:r>
        <w:rPr>
          <w:rFonts w:hint="eastAsia" w:cs="Times New Roman"/>
          <w:sz w:val="20"/>
          <w:szCs w:val="20"/>
          <w:lang w:val="en-US" w:eastAsia="zh-CN"/>
        </w:rPr>
        <w:t xml:space="preserve"> </w:t>
      </w:r>
      <w:r>
        <w:rPr>
          <w:rFonts w:hint="default" w:ascii="Times New Roman" w:hAnsi="Times New Roman" w:eastAsia="PMingLiU" w:cs="Times New Roman"/>
          <w:sz w:val="20"/>
          <w:szCs w:val="20"/>
          <w:lang w:eastAsia="zh-TW"/>
        </w:rPr>
        <w:t xml:space="preserve">regardless of the reported UE capabilities </w:t>
      </w:r>
      <w:r>
        <w:rPr>
          <w:rFonts w:hint="default" w:ascii="Times New Roman" w:hAnsi="Times New Roman" w:eastAsia="PMingLiU" w:cs="Times New Roman"/>
          <w:sz w:val="20"/>
          <w:szCs w:val="20"/>
          <w:highlight w:val="none"/>
          <w:lang w:eastAsia="zh-TW"/>
        </w:rPr>
        <w:t>[and gap association]</w:t>
      </w:r>
      <w:r>
        <w:rPr>
          <w:rFonts w:hint="default" w:ascii="Times New Roman" w:hAnsi="Times New Roman" w:eastAsia="PMingLiU" w:cs="Times New Roman"/>
          <w:sz w:val="20"/>
          <w:szCs w:val="20"/>
          <w:lang w:eastAsia="zh-TW"/>
        </w:rPr>
        <w:t>.</w:t>
      </w:r>
      <w:r>
        <w:rPr>
          <w:rFonts w:hint="eastAsia" w:cs="Times New Roman"/>
          <w:sz w:val="20"/>
          <w:szCs w:val="20"/>
          <w:lang w:val="en-US" w:eastAsia="zh-CN"/>
        </w:rPr>
        <w:t xml:space="preserve"> The open issue is whether need to consider the gap association.</w:t>
      </w:r>
    </w:p>
    <w:p w14:paraId="4C8966EF">
      <w:pPr>
        <w:spacing w:after="180" w:line="240" w:lineRule="exact"/>
        <w:rPr>
          <w:rFonts w:hint="eastAsia"/>
          <w:sz w:val="20"/>
          <w:szCs w:val="20"/>
          <w:lang w:val="en-US" w:eastAsia="zh-CN"/>
        </w:rPr>
      </w:pPr>
      <w:r>
        <w:rPr>
          <w:rFonts w:hint="eastAsia" w:cs="Times New Roman"/>
          <w:sz w:val="20"/>
          <w:szCs w:val="20"/>
          <w:lang w:val="en-US" w:eastAsia="zh-CN"/>
        </w:rPr>
        <w:t xml:space="preserve">Our preference is not to consider the gap association. </w:t>
      </w:r>
      <w:r>
        <w:rPr>
          <w:rFonts w:hint="eastAsia" w:ascii="Times New Roman" w:hAnsi="Times New Roman"/>
          <w:sz w:val="20"/>
          <w:szCs w:val="20"/>
          <w:lang w:val="en-US" w:eastAsia="zh-CN"/>
        </w:rPr>
        <w:t xml:space="preserve">The original reason to discuss </w:t>
      </w:r>
      <w:r>
        <w:rPr>
          <w:rFonts w:hint="default" w:ascii="Times New Roman" w:hAnsi="Times New Roman"/>
          <w:sz w:val="20"/>
          <w:szCs w:val="20"/>
          <w:lang w:val="en-US" w:eastAsia="zh-CN"/>
        </w:rPr>
        <w:t>Rel-18 UE behavior for deactivated SCell measurements with NCSG</w:t>
      </w:r>
      <w:r>
        <w:rPr>
          <w:rFonts w:hint="eastAsia" w:ascii="Times New Roman" w:hAnsi="Times New Roman"/>
          <w:sz w:val="20"/>
          <w:szCs w:val="20"/>
          <w:lang w:val="en-US" w:eastAsia="zh-CN"/>
        </w:rPr>
        <w:t xml:space="preserve"> is whether the deactivated SCell MO not associated with NCSG can be still measured within NCSG.</w:t>
      </w:r>
      <w:r>
        <w:rPr>
          <w:rFonts w:hint="eastAsia"/>
          <w:sz w:val="20"/>
          <w:szCs w:val="20"/>
          <w:lang w:val="en-US" w:eastAsia="zh-CN"/>
        </w:rPr>
        <w:t xml:space="preserve"> The benifit is to avoid introducing additional interruption compared with the solution that UE measures the deactivated SCell outside of MG. If gap association is considered, the above benefit is lost, in detail, the </w:t>
      </w:r>
      <w:r>
        <w:rPr>
          <w:rFonts w:hint="eastAsia" w:ascii="Times New Roman" w:hAnsi="Times New Roman"/>
          <w:sz w:val="20"/>
          <w:szCs w:val="20"/>
          <w:lang w:val="en-US" w:eastAsia="zh-CN"/>
        </w:rPr>
        <w:t>deactivated SCell MO not associated with NCSG can</w:t>
      </w:r>
      <w:r>
        <w:rPr>
          <w:rFonts w:hint="eastAsia"/>
          <w:sz w:val="20"/>
          <w:szCs w:val="20"/>
          <w:lang w:val="en-US" w:eastAsia="zh-CN"/>
        </w:rPr>
        <w:t>not</w:t>
      </w:r>
      <w:r>
        <w:rPr>
          <w:rFonts w:hint="eastAsia" w:ascii="Times New Roman" w:hAnsi="Times New Roman"/>
          <w:sz w:val="20"/>
          <w:szCs w:val="20"/>
          <w:lang w:val="en-US" w:eastAsia="zh-CN"/>
        </w:rPr>
        <w:t xml:space="preserve"> be measured within NCSG</w:t>
      </w:r>
      <w:r>
        <w:rPr>
          <w:rFonts w:hint="eastAsia"/>
          <w:sz w:val="20"/>
          <w:szCs w:val="20"/>
          <w:lang w:val="en-US" w:eastAsia="zh-CN"/>
        </w:rPr>
        <w:t>, which means can only be measured outside of MG resulting in additional interruption</w:t>
      </w:r>
      <w:r>
        <w:rPr>
          <w:rFonts w:hint="eastAsia" w:ascii="Times New Roman" w:hAnsi="Times New Roman"/>
          <w:sz w:val="20"/>
          <w:szCs w:val="20"/>
          <w:lang w:val="en-US" w:eastAsia="zh-CN"/>
        </w:rPr>
        <w:t>.</w:t>
      </w:r>
      <w:r>
        <w:rPr>
          <w:rFonts w:hint="eastAsia"/>
          <w:sz w:val="20"/>
          <w:szCs w:val="20"/>
          <w:lang w:val="en-US" w:eastAsia="zh-CN"/>
        </w:rPr>
        <w:t xml:space="preserve"> </w:t>
      </w:r>
      <w:r>
        <w:rPr>
          <w:rFonts w:hint="eastAsia" w:ascii="Times New Roman" w:hAnsi="Times New Roman"/>
          <w:sz w:val="20"/>
          <w:szCs w:val="20"/>
          <w:lang w:val="en-US" w:eastAsia="zh-CN"/>
        </w:rPr>
        <w:t xml:space="preserve"> </w:t>
      </w:r>
    </w:p>
    <w:p w14:paraId="317C4E80">
      <w:pPr>
        <w:spacing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it is proposed that when the UE is configured with Concurrent gaps with NCSG, all deactivated SCells are measured within NCSG, regardless the gap association</w:t>
      </w:r>
      <w:r>
        <w:rPr>
          <w:rFonts w:hint="eastAsia" w:ascii="Times New Roman" w:hAnsi="Times New Roman"/>
          <w:b/>
          <w:bCs/>
          <w:i/>
          <w:iCs/>
          <w:sz w:val="20"/>
          <w:szCs w:val="20"/>
          <w:lang w:val="en-US" w:eastAsia="zh-CN"/>
        </w:rPr>
        <w:t>.</w:t>
      </w:r>
    </w:p>
    <w:p w14:paraId="14A64694">
      <w:pPr>
        <w:spacing w:after="180" w:line="240" w:lineRule="exact"/>
        <w:rPr>
          <w:rFonts w:hint="eastAsia" w:ascii="Times New Roman" w:hAnsi="Times New Roman"/>
          <w:b/>
          <w:bCs/>
          <w:i/>
          <w:iCs/>
          <w:sz w:val="20"/>
          <w:szCs w:val="20"/>
          <w:lang w:val="en-US" w:eastAsia="zh-CN"/>
        </w:rPr>
      </w:pPr>
    </w:p>
    <w:bookmarkEnd w:id="6"/>
    <w:bookmarkEnd w:id="7"/>
    <w:p w14:paraId="0CF1F32F">
      <w:pPr>
        <w:pStyle w:val="2"/>
        <w:widowControl/>
        <w:numPr>
          <w:ilvl w:val="0"/>
          <w:numId w:val="5"/>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49E84DC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sz w:val="20"/>
          <w:szCs w:val="20"/>
          <w:lang w:val="en-US" w:eastAsia="zh-CN"/>
        </w:rPr>
        <w:t>concurrent gaps with NCSG</w:t>
      </w:r>
      <w:r>
        <w:rPr>
          <w:rFonts w:hint="eastAsia" w:ascii="Times New Roman" w:hAnsi="Times New Roman"/>
          <w:sz w:val="20"/>
          <w:szCs w:val="20"/>
        </w:rPr>
        <w:t>. The proposals are:</w:t>
      </w:r>
    </w:p>
    <w:p w14:paraId="0175A151">
      <w:pPr>
        <w:spacing w:after="180" w:line="240" w:lineRule="exact"/>
        <w:rPr>
          <w:rFonts w:hint="eastAsia" w:ascii="Times New Roman" w:hAnsi="Times New Roman"/>
          <w:sz w:val="20"/>
          <w:szCs w:val="20"/>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it is proposed that when the UE is configured with Concurrent gaps with NCSG, all deactivated SCells are measured within NCSG, regardless the gap association</w:t>
      </w:r>
      <w:r>
        <w:rPr>
          <w:rFonts w:hint="eastAsia" w:ascii="Times New Roman" w:hAnsi="Times New Roman"/>
          <w:b/>
          <w:bCs/>
          <w:i/>
          <w:iCs/>
          <w:sz w:val="20"/>
          <w:szCs w:val="20"/>
          <w:lang w:val="en-US" w:eastAsia="zh-CN"/>
        </w:rPr>
        <w:t>.</w:t>
      </w:r>
    </w:p>
    <w:p w14:paraId="7C205047">
      <w:pPr>
        <w:pStyle w:val="2"/>
        <w:widowControl/>
        <w:numPr>
          <w:ilvl w:val="0"/>
          <w:numId w:val="5"/>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4EDEEF">
      <w:pPr>
        <w:pStyle w:val="16"/>
        <w:framePr w:wrap="auto" w:vAnchor="margin" w:hAnchor="text" w:yAlign="inline"/>
        <w:numPr>
          <w:ilvl w:val="0"/>
          <w:numId w:val="6"/>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R4-2420213, WF on RRM requirements for NR_MG _enh2, MediaTek.</w:t>
      </w:r>
    </w:p>
    <w:p w14:paraId="5C87BCDA">
      <w:pPr>
        <w:pStyle w:val="16"/>
        <w:framePr w:wrap="auto" w:vAnchor="margin" w:hAnchor="text" w:yAlign="inline"/>
        <w:ind w:right="400"/>
        <w:jc w:val="both"/>
        <w:rPr>
          <w:rFonts w:hint="default" w:ascii="Times" w:hAnsi="Times" w:eastAsia="宋体"/>
          <w:b w:val="0"/>
          <w:sz w:val="20"/>
          <w:lang w:val="en-US" w:eastAsia="zh-CN"/>
        </w:rPr>
      </w:pPr>
    </w:p>
    <w:p w14:paraId="2775B217">
      <w:pPr>
        <w:pStyle w:val="16"/>
        <w:framePr w:wrap="auto" w:vAnchor="margin" w:hAnchor="text" w:yAlign="inline"/>
        <w:ind w:right="400"/>
        <w:jc w:val="both"/>
        <w:rPr>
          <w:rFonts w:hint="eastAsia" w:ascii="Times" w:hAnsi="Times" w:eastAsia="宋体"/>
          <w:b w:val="0"/>
          <w:sz w:val="20"/>
          <w:lang w:eastAsia="zh-CN"/>
        </w:rPr>
      </w:pPr>
    </w:p>
    <w:p w14:paraId="3A87C6C4"/>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556F1"/>
    <w:multiLevelType w:val="multilevel"/>
    <w:tmpl w:val="109556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ECACDE"/>
    <w:multiLevelType w:val="singleLevel"/>
    <w:tmpl w:val="18ECACDE"/>
    <w:lvl w:ilvl="0" w:tentative="0">
      <w:start w:val="1"/>
      <w:numFmt w:val="decimal"/>
      <w:suff w:val="space"/>
      <w:lvlText w:val="[%1]"/>
      <w:lvlJc w:val="left"/>
    </w:lvl>
  </w:abstractNum>
  <w:abstractNum w:abstractNumId="2">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F53F1"/>
    <w:rsid w:val="1B7A3E63"/>
    <w:rsid w:val="1E2F2CF8"/>
    <w:rsid w:val="1FF61BF9"/>
    <w:rsid w:val="21486375"/>
    <w:rsid w:val="2E9D1080"/>
    <w:rsid w:val="318943F3"/>
    <w:rsid w:val="3CA21308"/>
    <w:rsid w:val="46C604FD"/>
    <w:rsid w:val="495D254A"/>
    <w:rsid w:val="497A3BC8"/>
    <w:rsid w:val="4C6F7406"/>
    <w:rsid w:val="534722A1"/>
    <w:rsid w:val="54656B86"/>
    <w:rsid w:val="59C87154"/>
    <w:rsid w:val="64E07C3C"/>
    <w:rsid w:val="670D6F4C"/>
    <w:rsid w:val="6B4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TAH"/>
    <w:basedOn w:val="13"/>
    <w:qFormat/>
    <w:uiPriority w:val="0"/>
    <w:rPr>
      <w:b/>
      <w:bCs/>
    </w:rPr>
  </w:style>
  <w:style w:type="paragraph" w:customStyle="1" w:styleId="13">
    <w:name w:val="TAC"/>
    <w:basedOn w:val="14"/>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14">
    <w:name w:val="TAL"/>
    <w:basedOn w:val="1"/>
    <w:qFormat/>
    <w:uiPriority w:val="0"/>
    <w:pPr>
      <w:keepNext/>
      <w:keepLines/>
      <w:widowControl/>
      <w:jc w:val="left"/>
    </w:pPr>
    <w:rPr>
      <w:rFonts w:ascii="Arial" w:hAnsi="Arial"/>
      <w:kern w:val="0"/>
      <w:sz w:val="18"/>
      <w:szCs w:val="20"/>
      <w:lang w:val="en-GB" w:eastAsia="en-US"/>
    </w:rPr>
  </w:style>
  <w:style w:type="paragraph" w:customStyle="1" w:styleId="15">
    <w:name w:val="main text"/>
    <w:basedOn w:val="1"/>
    <w:qFormat/>
    <w:uiPriority w:val="0"/>
    <w:pPr>
      <w:spacing w:before="60" w:after="60" w:line="288" w:lineRule="auto"/>
      <w:ind w:firstLine="200" w:firstLineChars="200"/>
      <w:jc w:val="both"/>
    </w:pPr>
    <w:rPr>
      <w:rFonts w:eastAsia="Malgun Gothic"/>
      <w:sz w:val="20"/>
      <w:lang w:eastAsia="ko-KR"/>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styleId="17">
    <w:name w:val="List Paragraph"/>
    <w:basedOn w:val="1"/>
    <w:qFormat/>
    <w:uiPriority w:val="34"/>
    <w:pPr>
      <w:ind w:firstLine="420" w:firstLineChars="200"/>
    </w:pPr>
  </w:style>
  <w:style w:type="paragraph" w:customStyle="1" w:styleId="18">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2024-11-07T10:13:00Z</dcterms:created>
  <dc:creator>cmcc</dc:creator>
  <cp:lastModifiedBy>Jingjing Chen_CMCC</cp:lastModifiedBy>
  <dcterms:modified xsi:type="dcterms:W3CDTF">2025-02-07T08:35:12Z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2E6DE5F8F6804F80987A5CAE0702FAC7_12</vt:lpwstr>
  </property>
</Properties>
</file>